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6A" w:rsidRPr="0095769F" w:rsidRDefault="0005318B" w:rsidP="00FE7CD4">
      <w:pPr>
        <w:spacing w:after="0"/>
        <w:jc w:val="center"/>
        <w:rPr>
          <w:rFonts w:cs="Arial"/>
          <w:b/>
          <w:lang w:val="en-US"/>
        </w:rPr>
      </w:pPr>
      <w:r w:rsidRPr="0095769F">
        <w:rPr>
          <w:rFonts w:cs="Arial"/>
          <w:b/>
          <w:lang w:val="en-US"/>
        </w:rPr>
        <w:t>NGO Consultations Concept Note</w:t>
      </w:r>
    </w:p>
    <w:p w:rsidR="00FE7CD4" w:rsidRPr="0095769F" w:rsidRDefault="00A827B0" w:rsidP="00FE7CD4">
      <w:pPr>
        <w:spacing w:after="0"/>
        <w:jc w:val="center"/>
        <w:rPr>
          <w:rFonts w:cs="Arial"/>
        </w:rPr>
      </w:pPr>
      <w:r>
        <w:rPr>
          <w:rFonts w:cs="Arial"/>
        </w:rPr>
        <w:t xml:space="preserve">Climate change </w:t>
      </w:r>
      <w:r w:rsidR="00870E62">
        <w:rPr>
          <w:rFonts w:cs="Arial"/>
        </w:rPr>
        <w:t xml:space="preserve">and </w:t>
      </w:r>
      <w:r w:rsidR="00C53903" w:rsidRPr="0095769F">
        <w:rPr>
          <w:rFonts w:cs="Arial"/>
        </w:rPr>
        <w:t>displacement</w:t>
      </w:r>
      <w:r w:rsidR="00C53903">
        <w:rPr>
          <w:rFonts w:cs="Arial"/>
        </w:rPr>
        <w:t>:</w:t>
      </w:r>
      <w:r w:rsidR="00B64881">
        <w:rPr>
          <w:rFonts w:cs="Arial"/>
        </w:rPr>
        <w:t xml:space="preserve"> c</w:t>
      </w:r>
      <w:r>
        <w:rPr>
          <w:rFonts w:cs="Arial"/>
        </w:rPr>
        <w:t>hallenges and opportunities in global compact</w:t>
      </w:r>
    </w:p>
    <w:p w:rsidR="00FE7CD4" w:rsidRPr="0095769F" w:rsidRDefault="00FE7CD4" w:rsidP="00FE7CD4">
      <w:pPr>
        <w:spacing w:after="0"/>
        <w:jc w:val="center"/>
        <w:rPr>
          <w:rFonts w:cs="Arial"/>
          <w:lang w:val="en-US"/>
        </w:rPr>
      </w:pPr>
      <w:r w:rsidRPr="0095769F">
        <w:rPr>
          <w:rFonts w:cs="Arial"/>
          <w:lang w:val="en-US"/>
        </w:rPr>
        <w:t>Day:  Friday 16 June 2017</w:t>
      </w:r>
    </w:p>
    <w:p w:rsidR="00FE7CD4" w:rsidRPr="0095769F" w:rsidRDefault="00FE7CD4" w:rsidP="00FE7CD4">
      <w:pPr>
        <w:spacing w:after="0"/>
        <w:jc w:val="center"/>
        <w:rPr>
          <w:rFonts w:cs="Arial"/>
          <w:lang w:val="en-US"/>
        </w:rPr>
      </w:pPr>
      <w:r w:rsidRPr="0095769F">
        <w:rPr>
          <w:rFonts w:cs="Arial"/>
          <w:lang w:val="en-US"/>
        </w:rPr>
        <w:t>Time: 12:15- 13:45</w:t>
      </w:r>
    </w:p>
    <w:p w:rsidR="00FE7CD4" w:rsidRPr="0095769F" w:rsidRDefault="00FE7CD4" w:rsidP="00FE7CD4">
      <w:pPr>
        <w:spacing w:after="0"/>
        <w:jc w:val="center"/>
        <w:rPr>
          <w:rFonts w:cs="Arial"/>
          <w:lang w:val="en-US"/>
        </w:rPr>
      </w:pPr>
      <w:r w:rsidRPr="0095769F">
        <w:rPr>
          <w:rFonts w:cs="Arial"/>
          <w:lang w:val="en-US"/>
        </w:rPr>
        <w:t>Room no (ICCG): 4</w:t>
      </w:r>
    </w:p>
    <w:p w:rsidR="00FE7CD4" w:rsidRPr="0095769F" w:rsidRDefault="00FE7CD4" w:rsidP="00FE7CD4">
      <w:pPr>
        <w:spacing w:after="0"/>
        <w:jc w:val="center"/>
        <w:rPr>
          <w:rFonts w:cs="Arial"/>
          <w:lang w:val="en-US"/>
        </w:rPr>
      </w:pPr>
    </w:p>
    <w:p w:rsidR="00313CCA" w:rsidRPr="0095769F" w:rsidRDefault="00C829D2" w:rsidP="00313CCA">
      <w:pPr>
        <w:spacing w:line="276" w:lineRule="auto"/>
        <w:rPr>
          <w:rFonts w:cs="Arial"/>
          <w:b/>
        </w:rPr>
      </w:pPr>
      <w:r w:rsidRPr="0095769F">
        <w:rPr>
          <w:rFonts w:cs="Arial"/>
          <w:b/>
        </w:rPr>
        <w:t xml:space="preserve">Background </w:t>
      </w:r>
    </w:p>
    <w:p w:rsidR="00C829D2" w:rsidRPr="0095769F" w:rsidRDefault="003B79E4" w:rsidP="00313CCA">
      <w:pPr>
        <w:spacing w:line="276" w:lineRule="auto"/>
        <w:rPr>
          <w:rStyle w:val="apple-converted-space"/>
          <w:rFonts w:cs="Arial"/>
          <w:b/>
        </w:rPr>
      </w:pPr>
      <w:r w:rsidRPr="0095769F">
        <w:rPr>
          <w:rStyle w:val="apple-converted-space"/>
          <w:rFonts w:cs="Arial"/>
          <w:color w:val="000000" w:themeColor="text1"/>
        </w:rPr>
        <w:t xml:space="preserve">Disasters </w:t>
      </w:r>
      <w:r>
        <w:rPr>
          <w:rStyle w:val="apple-converted-space"/>
          <w:rFonts w:cs="Arial"/>
          <w:color w:val="000000" w:themeColor="text1"/>
        </w:rPr>
        <w:t>and</w:t>
      </w:r>
      <w:r w:rsidR="006309D2">
        <w:rPr>
          <w:rStyle w:val="apple-converted-space"/>
          <w:rFonts w:cs="Arial"/>
          <w:color w:val="000000" w:themeColor="text1"/>
        </w:rPr>
        <w:t xml:space="preserve"> adverse effects of climate change </w:t>
      </w:r>
      <w:r w:rsidR="00C829D2" w:rsidRPr="0095769F">
        <w:rPr>
          <w:rStyle w:val="apple-converted-space"/>
          <w:rFonts w:cs="Arial"/>
          <w:color w:val="000000" w:themeColor="text1"/>
        </w:rPr>
        <w:t xml:space="preserve">are </w:t>
      </w:r>
      <w:r w:rsidR="00C829D2" w:rsidRPr="00D34C06">
        <w:rPr>
          <w:rStyle w:val="apple-converted-space"/>
          <w:rFonts w:cs="Arial"/>
          <w:color w:val="000000" w:themeColor="text1"/>
        </w:rPr>
        <w:t>contemporary</w:t>
      </w:r>
      <w:r w:rsidR="00C829D2" w:rsidRPr="0095769F">
        <w:rPr>
          <w:rStyle w:val="apple-converted-space"/>
          <w:rFonts w:cs="Arial"/>
          <w:color w:val="000000" w:themeColor="text1"/>
        </w:rPr>
        <w:t xml:space="preserve"> drivers of displacement. </w:t>
      </w:r>
      <w:r w:rsidR="006309D2">
        <w:rPr>
          <w:rStyle w:val="apple-converted-space"/>
          <w:rFonts w:cs="Arial"/>
          <w:color w:val="000000" w:themeColor="text1"/>
        </w:rPr>
        <w:t xml:space="preserve">NRC’s </w:t>
      </w:r>
      <w:r w:rsidR="00C829D2" w:rsidRPr="0095769F">
        <w:rPr>
          <w:rStyle w:val="apple-converted-space"/>
          <w:rFonts w:cs="Arial"/>
          <w:color w:val="000000" w:themeColor="text1"/>
        </w:rPr>
        <w:t>Internal Displacement Monitoring Centre (IDMC) estimates that each year over 2</w:t>
      </w:r>
      <w:r w:rsidR="00313CCA" w:rsidRPr="0095769F">
        <w:rPr>
          <w:rStyle w:val="apple-converted-space"/>
          <w:rFonts w:cs="Arial"/>
          <w:color w:val="000000" w:themeColor="text1"/>
        </w:rPr>
        <w:t>4.5</w:t>
      </w:r>
      <w:r w:rsidR="00C829D2" w:rsidRPr="0095769F">
        <w:rPr>
          <w:rStyle w:val="apple-converted-space"/>
          <w:rFonts w:cs="Arial"/>
          <w:color w:val="000000" w:themeColor="text1"/>
        </w:rPr>
        <w:t xml:space="preserve"> million people are forced to move in the context of disasters,</w:t>
      </w:r>
      <w:r w:rsidR="00C829D2" w:rsidRPr="0095769F">
        <w:rPr>
          <w:rStyle w:val="FootnoteReference"/>
          <w:rFonts w:cs="Arial"/>
          <w:color w:val="000000" w:themeColor="text1"/>
        </w:rPr>
        <w:footnoteReference w:id="2"/>
      </w:r>
      <w:r w:rsidR="00C829D2" w:rsidRPr="0095769F">
        <w:rPr>
          <w:rStyle w:val="apple-converted-space"/>
          <w:rFonts w:cs="Arial"/>
          <w:color w:val="000000" w:themeColor="text1"/>
        </w:rPr>
        <w:t xml:space="preserve"> and the likelihood of being displaced by disasters is twice what it was in the 1970s. Scientists agree that the increase</w:t>
      </w:r>
      <w:r w:rsidR="00313CCA" w:rsidRPr="0095769F">
        <w:rPr>
          <w:rStyle w:val="apple-converted-space"/>
          <w:rFonts w:cs="Arial"/>
          <w:color w:val="000000" w:themeColor="text1"/>
        </w:rPr>
        <w:t>d</w:t>
      </w:r>
      <w:r w:rsidR="00C829D2" w:rsidRPr="0095769F">
        <w:rPr>
          <w:rStyle w:val="apple-converted-space"/>
          <w:rFonts w:cs="Arial"/>
          <w:color w:val="000000" w:themeColor="text1"/>
        </w:rPr>
        <w:t xml:space="preserve"> inte</w:t>
      </w:r>
      <w:r w:rsidR="00313CCA" w:rsidRPr="0095769F">
        <w:rPr>
          <w:rStyle w:val="apple-converted-space"/>
          <w:rFonts w:cs="Arial"/>
          <w:color w:val="000000" w:themeColor="text1"/>
        </w:rPr>
        <w:t>nsity and frequency of</w:t>
      </w:r>
      <w:r>
        <w:rPr>
          <w:rStyle w:val="apple-converted-space"/>
          <w:rFonts w:cs="Arial"/>
          <w:color w:val="000000" w:themeColor="text1"/>
        </w:rPr>
        <w:t xml:space="preserve"> climate-related natural</w:t>
      </w:r>
      <w:r w:rsidR="00313CCA" w:rsidRPr="0095769F">
        <w:rPr>
          <w:rStyle w:val="apple-converted-space"/>
          <w:rFonts w:cs="Arial"/>
          <w:color w:val="000000" w:themeColor="text1"/>
        </w:rPr>
        <w:t xml:space="preserve"> hazards</w:t>
      </w:r>
      <w:r w:rsidR="00C829D2" w:rsidRPr="0095769F">
        <w:rPr>
          <w:rStyle w:val="apple-converted-space"/>
          <w:rFonts w:cs="Arial"/>
          <w:color w:val="000000" w:themeColor="text1"/>
        </w:rPr>
        <w:t>, in combination with other factors, will increase displacement in the future.</w:t>
      </w:r>
    </w:p>
    <w:p w:rsidR="00C829D2" w:rsidRPr="0095769F" w:rsidRDefault="00C829D2" w:rsidP="00C829D2">
      <w:pPr>
        <w:jc w:val="both"/>
        <w:rPr>
          <w:rFonts w:cs="Arial"/>
          <w:color w:val="000000" w:themeColor="text1"/>
        </w:rPr>
      </w:pPr>
      <w:r w:rsidRPr="0095769F">
        <w:rPr>
          <w:rStyle w:val="apple-converted-space"/>
          <w:rFonts w:cs="Arial"/>
          <w:color w:val="000000" w:themeColor="text1"/>
        </w:rPr>
        <w:t xml:space="preserve">Disasters and climate change impacts can also act as a threat multiplier, and fuel conflict between people relying on the same depleted resources. Moreover, many people who have already been displaced by conflict </w:t>
      </w:r>
      <w:r w:rsidR="006309D2">
        <w:rPr>
          <w:rStyle w:val="apple-converted-space"/>
          <w:rFonts w:cs="Arial"/>
          <w:color w:val="000000" w:themeColor="text1"/>
        </w:rPr>
        <w:t xml:space="preserve">and violence </w:t>
      </w:r>
      <w:r w:rsidRPr="0095769F">
        <w:rPr>
          <w:rStyle w:val="apple-converted-space"/>
          <w:rFonts w:cs="Arial"/>
          <w:color w:val="000000" w:themeColor="text1"/>
        </w:rPr>
        <w:t>can be forced to move again in times of disaster or in search of habitable living areas. Their ability to return to places of origin may also be limited by climate change impacts.</w:t>
      </w:r>
    </w:p>
    <w:p w:rsidR="00C829D2" w:rsidRPr="0095769F" w:rsidRDefault="00C829D2" w:rsidP="00C829D2">
      <w:pPr>
        <w:spacing w:line="276" w:lineRule="auto"/>
        <w:rPr>
          <w:rFonts w:cs="Arial"/>
          <w:b/>
        </w:rPr>
      </w:pPr>
      <w:r w:rsidRPr="0095769F">
        <w:rPr>
          <w:rFonts w:cs="Arial"/>
          <w:b/>
        </w:rPr>
        <w:t xml:space="preserve">Link to </w:t>
      </w:r>
      <w:r w:rsidR="00313CCA" w:rsidRPr="0095769F">
        <w:rPr>
          <w:rFonts w:cs="Arial"/>
          <w:b/>
        </w:rPr>
        <w:t>Theme</w:t>
      </w:r>
    </w:p>
    <w:p w:rsidR="0095769F" w:rsidRPr="0095769F" w:rsidRDefault="0095769F" w:rsidP="00C829D2">
      <w:pPr>
        <w:spacing w:line="276" w:lineRule="auto"/>
      </w:pPr>
      <w:r w:rsidRPr="0095769F">
        <w:t>Both the Secretary General report and the New York declaration made several references to the challenge posed by climate change and disaster displacement and referred to the Nansen Initiative Protection agenda as a solution to address this issue.</w:t>
      </w:r>
    </w:p>
    <w:p w:rsidR="0095769F" w:rsidRPr="0095769F" w:rsidRDefault="0095769F" w:rsidP="0095769F">
      <w:pPr>
        <w:pStyle w:val="Corps"/>
        <w:rPr>
          <w:rFonts w:asciiTheme="minorHAnsi" w:hAnsiTheme="minorHAnsi"/>
          <w:lang w:val="en-GB"/>
        </w:rPr>
      </w:pPr>
      <w:r w:rsidRPr="0095769F">
        <w:rPr>
          <w:rFonts w:asciiTheme="minorHAnsi" w:hAnsiTheme="minorHAnsi"/>
          <w:lang w:val="en-GB"/>
        </w:rPr>
        <w:t>There are a number of entry points for the Global Compact on Refugees and Comprehensive Refugee Response Framework</w:t>
      </w:r>
      <w:r>
        <w:rPr>
          <w:rFonts w:asciiTheme="minorHAnsi" w:hAnsiTheme="minorHAnsi"/>
          <w:lang w:val="en-GB"/>
        </w:rPr>
        <w:t>:</w:t>
      </w:r>
    </w:p>
    <w:p w:rsidR="0095769F" w:rsidRPr="0095769F" w:rsidRDefault="0095769F" w:rsidP="0095769F">
      <w:pPr>
        <w:pStyle w:val="Corps"/>
        <w:numPr>
          <w:ilvl w:val="0"/>
          <w:numId w:val="9"/>
        </w:numPr>
        <w:rPr>
          <w:rFonts w:asciiTheme="minorHAnsi" w:hAnsiTheme="minorHAnsi"/>
          <w:lang w:val="en-GB"/>
        </w:rPr>
      </w:pPr>
      <w:r w:rsidRPr="0095769F">
        <w:rPr>
          <w:rFonts w:asciiTheme="minorHAnsi" w:hAnsiTheme="minorHAnsi"/>
          <w:lang w:val="en-GB"/>
        </w:rPr>
        <w:t xml:space="preserve">Reduce the risk of </w:t>
      </w:r>
      <w:r w:rsidRPr="0095769F">
        <w:rPr>
          <w:rFonts w:asciiTheme="minorHAnsi" w:hAnsiTheme="minorHAnsi"/>
          <w:b/>
          <w:bCs/>
          <w:lang w:val="en-GB"/>
        </w:rPr>
        <w:t>secondary displacement</w:t>
      </w:r>
      <w:r w:rsidRPr="0095769F">
        <w:rPr>
          <w:rFonts w:asciiTheme="minorHAnsi" w:hAnsiTheme="minorHAnsi"/>
          <w:lang w:val="en-GB"/>
        </w:rPr>
        <w:t xml:space="preserve"> for refugees and host communities situated in climate change and disaster hotspots:  Both because many displaced communities are situated in countries vulnerable to the effects of climate change and disasters and because of environmental challenges of hosting a large population in a small area, it is essential to increase preparedness and resilience of displaced persons and their host communities,</w:t>
      </w:r>
      <w:r w:rsidRPr="0095769F">
        <w:rPr>
          <w:rStyle w:val="FootnoteReference"/>
          <w:rFonts w:asciiTheme="minorHAnsi" w:hAnsiTheme="minorHAnsi"/>
          <w:lang w:val="en-GB"/>
        </w:rPr>
        <w:footnoteReference w:id="3"/>
      </w:r>
      <w:r w:rsidRPr="0095769F">
        <w:rPr>
          <w:rFonts w:asciiTheme="minorHAnsi" w:hAnsiTheme="minorHAnsi"/>
          <w:lang w:val="en-GB"/>
        </w:rPr>
        <w:t xml:space="preserve"> including through disaster risk reduction, contingency planning, climate change adaptation and sustainable development activities </w:t>
      </w:r>
      <w:r w:rsidRPr="0095769F">
        <w:rPr>
          <w:rStyle w:val="FootnoteReference"/>
          <w:rFonts w:asciiTheme="minorHAnsi" w:hAnsiTheme="minorHAnsi"/>
          <w:lang w:val="en-GB"/>
        </w:rPr>
        <w:footnoteReference w:id="4"/>
      </w:r>
    </w:p>
    <w:p w:rsidR="0095769F" w:rsidRPr="0095769F" w:rsidRDefault="0095769F" w:rsidP="0095769F">
      <w:pPr>
        <w:pStyle w:val="Corps"/>
        <w:numPr>
          <w:ilvl w:val="0"/>
          <w:numId w:val="10"/>
        </w:numPr>
        <w:rPr>
          <w:rFonts w:asciiTheme="minorHAnsi" w:hAnsiTheme="minorHAnsi"/>
          <w:lang w:val="en-GB"/>
        </w:rPr>
      </w:pPr>
      <w:r w:rsidRPr="0095769F">
        <w:rPr>
          <w:rFonts w:asciiTheme="minorHAnsi" w:hAnsiTheme="minorHAnsi"/>
          <w:lang w:val="en-GB"/>
        </w:rPr>
        <w:t xml:space="preserve">Increase </w:t>
      </w:r>
      <w:r w:rsidRPr="0095769F">
        <w:rPr>
          <w:rFonts w:asciiTheme="minorHAnsi" w:hAnsiTheme="minorHAnsi"/>
          <w:b/>
          <w:bCs/>
          <w:lang w:val="en-GB"/>
        </w:rPr>
        <w:t>opportunities for return</w:t>
      </w:r>
      <w:r w:rsidRPr="0095769F">
        <w:rPr>
          <w:rFonts w:asciiTheme="minorHAnsi" w:hAnsiTheme="minorHAnsi"/>
          <w:lang w:val="en-GB"/>
        </w:rPr>
        <w:t xml:space="preserve"> for refugees: Environmental degradation and the adverse effects of climate change, including sudden onset storms and floods as well as slow onset events such as droughts and sea level rise, may refugees from returning to their country of origin.</w:t>
      </w:r>
      <w:r w:rsidRPr="0095769F">
        <w:rPr>
          <w:rStyle w:val="FootnoteReference"/>
          <w:rFonts w:asciiTheme="minorHAnsi" w:hAnsiTheme="minorHAnsi"/>
          <w:lang w:val="en-GB"/>
        </w:rPr>
        <w:footnoteReference w:id="5"/>
      </w:r>
      <w:r w:rsidRPr="0095769F">
        <w:rPr>
          <w:rFonts w:asciiTheme="minorHAnsi" w:hAnsiTheme="minorHAnsi"/>
          <w:lang w:val="en-GB"/>
        </w:rPr>
        <w:t xml:space="preserve"> It is therefore essential to support countries of origin in addressing these phenomenon, including through climate change adaptation and sustainable development activities.</w:t>
      </w:r>
      <w:r w:rsidRPr="0095769F">
        <w:rPr>
          <w:rStyle w:val="FootnoteReference"/>
          <w:rFonts w:asciiTheme="minorHAnsi" w:hAnsiTheme="minorHAnsi"/>
          <w:lang w:val="en-GB"/>
        </w:rPr>
        <w:footnoteReference w:id="6"/>
      </w:r>
    </w:p>
    <w:p w:rsidR="0095769F" w:rsidRPr="0095769F" w:rsidRDefault="0095769F" w:rsidP="0095769F">
      <w:pPr>
        <w:pStyle w:val="Corps"/>
        <w:numPr>
          <w:ilvl w:val="0"/>
          <w:numId w:val="10"/>
        </w:numPr>
        <w:rPr>
          <w:rFonts w:asciiTheme="minorHAnsi" w:hAnsiTheme="minorHAnsi"/>
          <w:lang w:val="en-GB"/>
        </w:rPr>
      </w:pPr>
      <w:r w:rsidRPr="0095769F">
        <w:rPr>
          <w:rFonts w:asciiTheme="minorHAnsi" w:hAnsiTheme="minorHAnsi"/>
          <w:lang w:val="en-GB"/>
        </w:rPr>
        <w:lastRenderedPageBreak/>
        <w:t xml:space="preserve">Addressing </w:t>
      </w:r>
      <w:r w:rsidRPr="0095769F">
        <w:rPr>
          <w:rFonts w:asciiTheme="minorHAnsi" w:hAnsiTheme="minorHAnsi"/>
          <w:b/>
          <w:bCs/>
          <w:lang w:val="en-GB"/>
        </w:rPr>
        <w:t xml:space="preserve">root causes </w:t>
      </w:r>
      <w:r w:rsidRPr="0095769F">
        <w:rPr>
          <w:rFonts w:asciiTheme="minorHAnsi" w:hAnsiTheme="minorHAnsi"/>
          <w:lang w:val="en-GB"/>
        </w:rPr>
        <w:t>of refugee movements and displacement movements: building on 2015 High Commissioner’ Dialogue on Protection Challenges focused on ‘Understanding and addressing root causes of displacement’, climate change and disaster should be considered, however, this linkage is complex and should not be over-simplified: climate change is a vulnerability enhancer and a threat multiplier rather than a primary trigger of displacement and conflict, which may lead to displacement.</w:t>
      </w:r>
      <w:r w:rsidRPr="0095769F">
        <w:rPr>
          <w:rStyle w:val="FootnoteReference"/>
          <w:rFonts w:asciiTheme="minorHAnsi" w:hAnsiTheme="minorHAnsi"/>
          <w:lang w:val="en-GB"/>
        </w:rPr>
        <w:footnoteReference w:id="7"/>
      </w:r>
    </w:p>
    <w:p w:rsidR="0095769F" w:rsidRPr="0095769F" w:rsidRDefault="0095769F" w:rsidP="0095769F">
      <w:pPr>
        <w:pStyle w:val="Corps"/>
        <w:numPr>
          <w:ilvl w:val="0"/>
          <w:numId w:val="10"/>
        </w:numPr>
        <w:rPr>
          <w:rFonts w:asciiTheme="minorHAnsi" w:hAnsiTheme="minorHAnsi"/>
          <w:lang w:val="en-GB"/>
        </w:rPr>
      </w:pPr>
      <w:r w:rsidRPr="0095769F">
        <w:rPr>
          <w:rFonts w:asciiTheme="minorHAnsi" w:hAnsiTheme="minorHAnsi"/>
          <w:b/>
          <w:bCs/>
          <w:lang w:val="en-GB"/>
        </w:rPr>
        <w:t xml:space="preserve">Protection </w:t>
      </w:r>
      <w:r w:rsidRPr="0095769F">
        <w:rPr>
          <w:rFonts w:asciiTheme="minorHAnsi" w:hAnsiTheme="minorHAnsi"/>
          <w:lang w:val="en-GB"/>
        </w:rPr>
        <w:t>of people displaced in climate change and disaster contexts: Although people displaced in climate change and disaster contexts would not normally qualify as refugees, there might be cases where this status could be relevant, including through regional instruments.</w:t>
      </w:r>
      <w:r w:rsidRPr="0095769F">
        <w:rPr>
          <w:rStyle w:val="FootnoteReference"/>
          <w:rFonts w:asciiTheme="minorHAnsi" w:hAnsiTheme="minorHAnsi"/>
          <w:lang w:val="en-GB"/>
        </w:rPr>
        <w:footnoteReference w:id="8"/>
      </w:r>
      <w:r w:rsidRPr="0095769F">
        <w:rPr>
          <w:rFonts w:asciiTheme="minorHAnsi" w:hAnsiTheme="minorHAnsi"/>
          <w:lang w:val="en-GB"/>
        </w:rPr>
        <w:t xml:space="preserve"> In addition, complementary and temporary protection such as TPSA are also relevant in these contexts.</w:t>
      </w:r>
      <w:r w:rsidRPr="0095769F">
        <w:rPr>
          <w:rStyle w:val="FootnoteReference"/>
          <w:rFonts w:asciiTheme="minorHAnsi" w:hAnsiTheme="minorHAnsi"/>
          <w:lang w:val="en-GB"/>
        </w:rPr>
        <w:footnoteReference w:id="9"/>
      </w:r>
    </w:p>
    <w:p w:rsidR="00C829D2" w:rsidRPr="0095769F" w:rsidRDefault="004C232D" w:rsidP="00C829D2">
      <w:pPr>
        <w:spacing w:line="276" w:lineRule="auto"/>
        <w:rPr>
          <w:rFonts w:cs="Arial"/>
        </w:rPr>
      </w:pPr>
      <w:r w:rsidRPr="0095769F">
        <w:rPr>
          <w:rFonts w:cs="Arial"/>
        </w:rPr>
        <w:t xml:space="preserve">In addition, climate change and disaster displacement also feature prominently in the discussions around the </w:t>
      </w:r>
      <w:r w:rsidR="001477B7" w:rsidRPr="0095769F">
        <w:rPr>
          <w:rFonts w:cs="Arial"/>
        </w:rPr>
        <w:t>interface with the Global Compact on Safe, Orderly, and Regular Migration</w:t>
      </w:r>
      <w:r w:rsidR="0095769F">
        <w:rPr>
          <w:rFonts w:cs="Arial"/>
        </w:rPr>
        <w:t>:</w:t>
      </w:r>
    </w:p>
    <w:p w:rsidR="0095769F" w:rsidRPr="0095769F" w:rsidRDefault="0095769F" w:rsidP="0095769F">
      <w:pPr>
        <w:pStyle w:val="Corps"/>
        <w:numPr>
          <w:ilvl w:val="0"/>
          <w:numId w:val="10"/>
        </w:numPr>
        <w:rPr>
          <w:rFonts w:asciiTheme="minorHAnsi" w:hAnsiTheme="minorHAnsi"/>
          <w:lang w:val="en-GB"/>
        </w:rPr>
      </w:pPr>
      <w:r w:rsidRPr="0095769F">
        <w:rPr>
          <w:rFonts w:asciiTheme="minorHAnsi" w:hAnsiTheme="minorHAnsi"/>
          <w:b/>
          <w:bCs/>
          <w:lang w:val="en-GB"/>
        </w:rPr>
        <w:t>Addressing drivers</w:t>
      </w:r>
      <w:r w:rsidRPr="0095769F">
        <w:rPr>
          <w:rFonts w:asciiTheme="minorHAnsi" w:hAnsiTheme="minorHAnsi"/>
          <w:lang w:val="en-GB"/>
        </w:rPr>
        <w:t xml:space="preserve"> of migration: In some cases, people move as a strategy to cope with the effects of climate change and disaster, which may be characterized as migration, but in others, including when the most vulnerable people who lack resources to migrate are forced to flee to seek safety in the context of the adverse effects of climate change and disaster, it is more appropriately characterized as displacement. Climate change, including through slow-onset events, can influence migration by amplifying or modifying the economic, social, political and demographic drivers of migration. Preventive measures such as climate change adaptation, disaster risk reduction, sustainable development, voluntary migration as an adaptation strategy and planned relocation as a last resort are essential to avert and minimize forced displacement, including through implementation of relevant international instruments (UNFCCC Paris Agreement, Sendai Framework on DRR, SDGs, among others).</w:t>
      </w:r>
      <w:r w:rsidRPr="0095769F">
        <w:rPr>
          <w:rStyle w:val="FootnoteReference"/>
          <w:rFonts w:asciiTheme="minorHAnsi" w:hAnsiTheme="minorHAnsi"/>
          <w:lang w:val="en-GB"/>
        </w:rPr>
        <w:footnoteReference w:id="10"/>
      </w:r>
    </w:p>
    <w:p w:rsidR="0095769F" w:rsidRPr="0095769F" w:rsidRDefault="0095769F" w:rsidP="0095769F">
      <w:pPr>
        <w:pStyle w:val="Corps"/>
        <w:numPr>
          <w:ilvl w:val="0"/>
          <w:numId w:val="10"/>
        </w:numPr>
        <w:rPr>
          <w:rFonts w:asciiTheme="minorHAnsi" w:hAnsiTheme="minorHAnsi"/>
          <w:lang w:val="en-GB"/>
        </w:rPr>
      </w:pPr>
      <w:r w:rsidRPr="0095769F">
        <w:rPr>
          <w:rFonts w:asciiTheme="minorHAnsi" w:hAnsiTheme="minorHAnsi"/>
          <w:b/>
          <w:bCs/>
          <w:lang w:val="en-GB"/>
        </w:rPr>
        <w:t xml:space="preserve">Assist and preserve human rights </w:t>
      </w:r>
      <w:r w:rsidRPr="0095769F">
        <w:rPr>
          <w:rFonts w:asciiTheme="minorHAnsi" w:hAnsiTheme="minorHAnsi"/>
          <w:lang w:val="en-GB"/>
        </w:rPr>
        <w:t>of vulnerable migrants caught in situations of crisis and forcibly displaced persons through the implementation of relevant existing instruments, including the Nansen Initiative Protection Agenda, MICIC, and UNHCR guidance and instruments (such asthe 10 Point Plan in Action).</w:t>
      </w:r>
      <w:r w:rsidRPr="0095769F">
        <w:rPr>
          <w:rStyle w:val="FootnoteReference"/>
          <w:rFonts w:asciiTheme="minorHAnsi" w:hAnsiTheme="minorHAnsi"/>
          <w:lang w:val="en-GB"/>
        </w:rPr>
        <w:footnoteReference w:id="11"/>
      </w:r>
    </w:p>
    <w:p w:rsidR="0095769F" w:rsidRPr="0095769F" w:rsidRDefault="00C829D2" w:rsidP="00FE7CD4">
      <w:pPr>
        <w:spacing w:after="0"/>
        <w:rPr>
          <w:rFonts w:cs="Arial"/>
          <w:b/>
          <w:lang w:val="en-US"/>
        </w:rPr>
      </w:pPr>
      <w:r w:rsidRPr="0095769F">
        <w:rPr>
          <w:rFonts w:cs="Arial"/>
          <w:b/>
          <w:lang w:val="en-US"/>
        </w:rPr>
        <w:t>Objectives of session</w:t>
      </w:r>
    </w:p>
    <w:p w:rsidR="003E5C24" w:rsidRPr="0095769F" w:rsidRDefault="003E5C24" w:rsidP="0095769F">
      <w:pPr>
        <w:pStyle w:val="Corps"/>
        <w:numPr>
          <w:ilvl w:val="0"/>
          <w:numId w:val="10"/>
        </w:numPr>
        <w:rPr>
          <w:rFonts w:cs="Arial"/>
        </w:rPr>
      </w:pPr>
      <w:r w:rsidRPr="0095769F">
        <w:rPr>
          <w:rFonts w:cs="Arial"/>
        </w:rPr>
        <w:t xml:space="preserve">This session first aims to raise awareness about </w:t>
      </w:r>
      <w:r w:rsidR="006309D2">
        <w:rPr>
          <w:rFonts w:cs="Arial"/>
        </w:rPr>
        <w:t xml:space="preserve">displacement in the context of </w:t>
      </w:r>
      <w:r w:rsidRPr="0095769F">
        <w:rPr>
          <w:rFonts w:cs="Arial"/>
        </w:rPr>
        <w:t xml:space="preserve">climate change and disaster, and </w:t>
      </w:r>
      <w:r w:rsidR="00E245C2" w:rsidRPr="0095769F">
        <w:rPr>
          <w:rFonts w:cs="Arial"/>
        </w:rPr>
        <w:t xml:space="preserve">emphasize </w:t>
      </w:r>
      <w:r w:rsidRPr="0095769F">
        <w:rPr>
          <w:rFonts w:cs="Arial"/>
        </w:rPr>
        <w:t xml:space="preserve">the importance of mainstreaming this issue </w:t>
      </w:r>
      <w:r w:rsidR="00E245C2" w:rsidRPr="0095769F">
        <w:rPr>
          <w:rFonts w:cs="Arial"/>
        </w:rPr>
        <w:t xml:space="preserve">with coherent messaging </w:t>
      </w:r>
      <w:r w:rsidRPr="0095769F">
        <w:rPr>
          <w:rFonts w:cs="Arial"/>
        </w:rPr>
        <w:t xml:space="preserve">across </w:t>
      </w:r>
      <w:r w:rsidR="00E245C2" w:rsidRPr="0095769F">
        <w:rPr>
          <w:rFonts w:cs="Arial"/>
        </w:rPr>
        <w:t>many parallel</w:t>
      </w:r>
      <w:r w:rsidRPr="0095769F">
        <w:rPr>
          <w:rFonts w:cs="Arial"/>
        </w:rPr>
        <w:t xml:space="preserve"> policy arenas – most specifically the Global Compacts.</w:t>
      </w:r>
    </w:p>
    <w:p w:rsidR="00E245C2" w:rsidRPr="00B230EC" w:rsidRDefault="00C829D2" w:rsidP="00B230EC">
      <w:pPr>
        <w:pStyle w:val="Corps"/>
        <w:numPr>
          <w:ilvl w:val="0"/>
          <w:numId w:val="10"/>
        </w:numPr>
        <w:rPr>
          <w:rFonts w:cs="Arial"/>
        </w:rPr>
      </w:pPr>
      <w:r w:rsidRPr="0095769F">
        <w:rPr>
          <w:rFonts w:cs="Arial"/>
        </w:rPr>
        <w:t xml:space="preserve">This session will </w:t>
      </w:r>
      <w:r w:rsidR="003E5C24" w:rsidRPr="0095769F">
        <w:rPr>
          <w:rFonts w:cs="Arial"/>
        </w:rPr>
        <w:t xml:space="preserve">then aim to solicit civil society perspectives on </w:t>
      </w:r>
      <w:r w:rsidRPr="0095769F">
        <w:rPr>
          <w:rFonts w:cs="Arial"/>
        </w:rPr>
        <w:t xml:space="preserve">how to address this issue in </w:t>
      </w:r>
      <w:r w:rsidR="003E5C24" w:rsidRPr="0095769F">
        <w:rPr>
          <w:rFonts w:cs="Arial"/>
        </w:rPr>
        <w:t>the Comprehensive Refugee Response Framework and the Global Compact on Refugees</w:t>
      </w:r>
      <w:r w:rsidRPr="0095769F">
        <w:rPr>
          <w:rFonts w:cs="Arial"/>
        </w:rPr>
        <w:t xml:space="preserve">, </w:t>
      </w:r>
      <w:r w:rsidR="003E5C24" w:rsidRPr="0095769F">
        <w:rPr>
          <w:rFonts w:cs="Arial"/>
        </w:rPr>
        <w:t>as well as</w:t>
      </w:r>
      <w:r w:rsidRPr="0095769F">
        <w:rPr>
          <w:rFonts w:cs="Arial"/>
        </w:rPr>
        <w:t xml:space="preserve"> the interface with the Global Compact on Safe, Orderly and Regular Migration.</w:t>
      </w:r>
    </w:p>
    <w:p w:rsidR="003E5C24" w:rsidRPr="0095769F" w:rsidRDefault="00E245C2" w:rsidP="0095769F">
      <w:pPr>
        <w:pStyle w:val="Corps"/>
        <w:numPr>
          <w:ilvl w:val="0"/>
          <w:numId w:val="10"/>
        </w:numPr>
        <w:rPr>
          <w:rFonts w:cs="Arial"/>
        </w:rPr>
      </w:pPr>
      <w:r w:rsidRPr="0095769F">
        <w:rPr>
          <w:rFonts w:cs="Arial"/>
        </w:rPr>
        <w:lastRenderedPageBreak/>
        <w:t>The objective is to foster dialogue and open discussion, and gather insights from civil society actors across a range of geographic regions and types of organizations.</w:t>
      </w:r>
    </w:p>
    <w:p w:rsidR="00C829D2" w:rsidRPr="0095769F" w:rsidRDefault="00C829D2" w:rsidP="00FE7CD4">
      <w:pPr>
        <w:spacing w:after="0"/>
        <w:rPr>
          <w:rFonts w:cs="Arial"/>
          <w:b/>
          <w:lang w:val="en-US"/>
        </w:rPr>
      </w:pPr>
      <w:r w:rsidRPr="0095769F">
        <w:rPr>
          <w:rFonts w:cs="Arial"/>
          <w:b/>
          <w:lang w:val="en-US"/>
        </w:rPr>
        <w:t>Desired outcome</w:t>
      </w:r>
      <w:r w:rsidR="004C232D" w:rsidRPr="0095769F">
        <w:rPr>
          <w:rFonts w:cs="Arial"/>
          <w:b/>
          <w:lang w:val="en-US"/>
        </w:rPr>
        <w:t xml:space="preserve"> of session</w:t>
      </w:r>
    </w:p>
    <w:p w:rsidR="0095769F" w:rsidRDefault="003E5C24" w:rsidP="0095769F">
      <w:pPr>
        <w:pStyle w:val="Corps"/>
        <w:numPr>
          <w:ilvl w:val="0"/>
          <w:numId w:val="10"/>
        </w:numPr>
        <w:rPr>
          <w:rFonts w:cs="Arial"/>
        </w:rPr>
      </w:pPr>
      <w:r w:rsidRPr="0095769F">
        <w:rPr>
          <w:rFonts w:cs="Arial"/>
        </w:rPr>
        <w:t>This session will aim to take stock of the recent thematic discussions, including at a parallel event this week on the same topic held at the Bangladesh Mission</w:t>
      </w:r>
      <w:r w:rsidR="00905354">
        <w:rPr>
          <w:rFonts w:cs="Arial"/>
        </w:rPr>
        <w:t xml:space="preserve"> with governments and civil society organisations</w:t>
      </w:r>
      <w:r w:rsidRPr="0095769F">
        <w:rPr>
          <w:rFonts w:cs="Arial"/>
        </w:rPr>
        <w:t>, the thematic consultation on Drivers of Migration held in New York in May,</w:t>
      </w:r>
      <w:r w:rsidR="003B79E4">
        <w:rPr>
          <w:rFonts w:cs="Arial"/>
        </w:rPr>
        <w:t xml:space="preserve"> the Global Forum on Migration and Development (GFMD) Meeting held in Rabat in May,</w:t>
      </w:r>
      <w:r w:rsidRPr="0095769F">
        <w:rPr>
          <w:rFonts w:cs="Arial"/>
        </w:rPr>
        <w:t xml:space="preserve"> and ongoing discussions with the Platform on Disaster Displacement.</w:t>
      </w:r>
    </w:p>
    <w:p w:rsidR="003E5C24" w:rsidRPr="0095769F" w:rsidRDefault="003E5C24" w:rsidP="0095769F">
      <w:pPr>
        <w:pStyle w:val="Corps"/>
        <w:numPr>
          <w:ilvl w:val="0"/>
          <w:numId w:val="10"/>
        </w:numPr>
        <w:rPr>
          <w:rFonts w:cs="Arial"/>
        </w:rPr>
      </w:pPr>
      <w:r w:rsidRPr="0095769F">
        <w:rPr>
          <w:rFonts w:asciiTheme="minorHAnsi" w:hAnsiTheme="minorHAnsi" w:cs="Arial"/>
        </w:rPr>
        <w:t>This session will also aim to feed into follow-up actions, including the consultations for both Global Compacts.</w:t>
      </w:r>
    </w:p>
    <w:p w:rsidR="006D55AB" w:rsidRPr="0095769F" w:rsidRDefault="006D55AB" w:rsidP="003E5C24">
      <w:pPr>
        <w:spacing w:after="0"/>
        <w:rPr>
          <w:rFonts w:cs="Arial"/>
        </w:rPr>
      </w:pPr>
    </w:p>
    <w:p w:rsidR="00C829D2" w:rsidRPr="0095769F" w:rsidRDefault="006D55AB" w:rsidP="00FE7CD4">
      <w:pPr>
        <w:spacing w:after="0"/>
        <w:rPr>
          <w:rFonts w:cs="Arial"/>
          <w:b/>
          <w:lang w:val="en-US"/>
        </w:rPr>
      </w:pPr>
      <w:r w:rsidRPr="0095769F">
        <w:rPr>
          <w:rFonts w:cs="Arial"/>
          <w:b/>
        </w:rPr>
        <w:t>Session Contacts</w:t>
      </w:r>
    </w:p>
    <w:p w:rsidR="006D55AB" w:rsidRPr="0095769F" w:rsidRDefault="006D55AB" w:rsidP="0095769F">
      <w:pPr>
        <w:pStyle w:val="Corps"/>
        <w:numPr>
          <w:ilvl w:val="0"/>
          <w:numId w:val="10"/>
        </w:numPr>
        <w:rPr>
          <w:rFonts w:cs="Arial"/>
        </w:rPr>
      </w:pPr>
      <w:r w:rsidRPr="0095769F">
        <w:rPr>
          <w:rFonts w:cs="Arial"/>
        </w:rPr>
        <w:t xml:space="preserve">Focal points:  Marine Franck (UNHCR); Nina </w:t>
      </w:r>
      <w:r w:rsidR="006309D2">
        <w:rPr>
          <w:rFonts w:cs="Arial"/>
        </w:rPr>
        <w:t xml:space="preserve">M </w:t>
      </w:r>
      <w:r w:rsidRPr="0095769F">
        <w:rPr>
          <w:rFonts w:cs="Arial"/>
        </w:rPr>
        <w:t>Birkeland (NRC); Rezaul</w:t>
      </w:r>
      <w:r w:rsidR="00960BF4">
        <w:rPr>
          <w:rFonts w:cs="Arial"/>
        </w:rPr>
        <w:t xml:space="preserve"> </w:t>
      </w:r>
      <w:r w:rsidRPr="0095769F">
        <w:rPr>
          <w:rFonts w:cs="Arial"/>
        </w:rPr>
        <w:t>Karim</w:t>
      </w:r>
      <w:r w:rsidR="00960BF4">
        <w:rPr>
          <w:rFonts w:cs="Arial"/>
        </w:rPr>
        <w:t xml:space="preserve"> </w:t>
      </w:r>
      <w:r w:rsidRPr="0095769F">
        <w:rPr>
          <w:rFonts w:cs="Arial"/>
        </w:rPr>
        <w:t>Chowdhury (COAST Bangladesh)</w:t>
      </w:r>
    </w:p>
    <w:p w:rsidR="006D55AB" w:rsidRPr="0095769F" w:rsidRDefault="006D55AB" w:rsidP="0095769F">
      <w:pPr>
        <w:pStyle w:val="Corps"/>
        <w:numPr>
          <w:ilvl w:val="0"/>
          <w:numId w:val="10"/>
        </w:numPr>
        <w:rPr>
          <w:rFonts w:cs="Arial"/>
        </w:rPr>
      </w:pPr>
      <w:r w:rsidRPr="0095769F">
        <w:rPr>
          <w:rFonts w:cs="Arial"/>
        </w:rPr>
        <w:t>Note taker(s): Erica Bower (UNHCR); Lena Brenn (NRC)</w:t>
      </w:r>
    </w:p>
    <w:p w:rsidR="006D55AB" w:rsidRPr="0095769F" w:rsidRDefault="006D55AB" w:rsidP="0095769F">
      <w:pPr>
        <w:pStyle w:val="Corps"/>
        <w:numPr>
          <w:ilvl w:val="0"/>
          <w:numId w:val="10"/>
        </w:numPr>
        <w:rPr>
          <w:rFonts w:cs="Arial"/>
        </w:rPr>
      </w:pPr>
      <w:r w:rsidRPr="0095769F">
        <w:rPr>
          <w:rFonts w:cs="Arial"/>
        </w:rPr>
        <w:t>Moderator: Atle Solberg (Platform on Disaster Displacement)</w:t>
      </w:r>
    </w:p>
    <w:p w:rsidR="006D55AB" w:rsidRPr="0095769F" w:rsidRDefault="006D55AB" w:rsidP="0095769F">
      <w:pPr>
        <w:pStyle w:val="Corps"/>
        <w:numPr>
          <w:ilvl w:val="0"/>
          <w:numId w:val="10"/>
        </w:numPr>
        <w:rPr>
          <w:rFonts w:cs="Arial"/>
        </w:rPr>
      </w:pPr>
      <w:r w:rsidRPr="0095769F">
        <w:rPr>
          <w:rFonts w:cs="Arial"/>
        </w:rPr>
        <w:t xml:space="preserve">Panelists: RezaulKarimChowdhury (COAST Bangladesh); NRC </w:t>
      </w:r>
      <w:r w:rsidR="006309D2">
        <w:rPr>
          <w:rFonts w:cs="Arial"/>
        </w:rPr>
        <w:t>Country</w:t>
      </w:r>
      <w:r w:rsidRPr="0095769F">
        <w:rPr>
          <w:rFonts w:cs="Arial"/>
        </w:rPr>
        <w:t>Office Colleague (TBC);  Morocco Colleague (TBC); ACT Alliance Colleague</w:t>
      </w:r>
      <w:r w:rsidR="00C84138">
        <w:rPr>
          <w:rFonts w:cs="Arial"/>
        </w:rPr>
        <w:t xml:space="preserve"> or any INGO</w:t>
      </w:r>
      <w:bookmarkStart w:id="0" w:name="_GoBack"/>
      <w:bookmarkEnd w:id="0"/>
      <w:r w:rsidRPr="0095769F">
        <w:rPr>
          <w:rFonts w:cs="Arial"/>
        </w:rPr>
        <w:t xml:space="preserve"> (TBC)</w:t>
      </w:r>
    </w:p>
    <w:p w:rsidR="006D55AB" w:rsidRPr="003E5C24" w:rsidRDefault="006D55AB" w:rsidP="00FE7CD4">
      <w:pPr>
        <w:spacing w:after="0"/>
        <w:rPr>
          <w:rFonts w:ascii="Arial" w:hAnsi="Arial" w:cs="Arial"/>
          <w:b/>
          <w:lang w:val="en-US"/>
        </w:rPr>
      </w:pPr>
    </w:p>
    <w:sectPr w:rsidR="006D55AB" w:rsidRPr="003E5C24" w:rsidSect="00ED1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F0D" w:rsidRDefault="00DC2F0D" w:rsidP="00C829D2">
      <w:pPr>
        <w:spacing w:after="0" w:line="240" w:lineRule="auto"/>
      </w:pPr>
      <w:r>
        <w:separator/>
      </w:r>
    </w:p>
  </w:endnote>
  <w:endnote w:type="continuationSeparator" w:id="1">
    <w:p w:rsidR="00DC2F0D" w:rsidRDefault="00DC2F0D" w:rsidP="00C82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F0D" w:rsidRDefault="00DC2F0D" w:rsidP="00C829D2">
      <w:pPr>
        <w:spacing w:after="0" w:line="240" w:lineRule="auto"/>
      </w:pPr>
      <w:r>
        <w:separator/>
      </w:r>
    </w:p>
  </w:footnote>
  <w:footnote w:type="continuationSeparator" w:id="1">
    <w:p w:rsidR="00DC2F0D" w:rsidRDefault="00DC2F0D" w:rsidP="00C829D2">
      <w:pPr>
        <w:spacing w:after="0" w:line="240" w:lineRule="auto"/>
      </w:pPr>
      <w:r>
        <w:continuationSeparator/>
      </w:r>
    </w:p>
  </w:footnote>
  <w:footnote w:id="2">
    <w:p w:rsidR="00C829D2" w:rsidRPr="0095769F" w:rsidRDefault="00C829D2" w:rsidP="0095769F">
      <w:pPr>
        <w:pStyle w:val="FootnoteText"/>
        <w:rPr>
          <w:sz w:val="18"/>
          <w:szCs w:val="20"/>
        </w:rPr>
      </w:pPr>
      <w:r w:rsidRPr="0095769F">
        <w:rPr>
          <w:rStyle w:val="FootnoteReference"/>
          <w:sz w:val="18"/>
          <w:szCs w:val="20"/>
        </w:rPr>
        <w:footnoteRef/>
      </w:r>
      <w:r w:rsidRPr="0095769F">
        <w:rPr>
          <w:sz w:val="18"/>
          <w:szCs w:val="20"/>
        </w:rPr>
        <w:t xml:space="preserve"> http://www.internal-displacement.org/assets/publications/2016/20161102-climate-change.pdf</w:t>
      </w:r>
    </w:p>
  </w:footnote>
  <w:footnote w:id="3">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lang w:val="en-GB"/>
        </w:rPr>
        <w:t>New York Declaration Paragraph 85; Annex I Paragraph 6(e)</w:t>
      </w:r>
    </w:p>
  </w:footnote>
  <w:footnote w:id="4">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lang w:val="en-GB"/>
        </w:rPr>
        <w:t>New York Declaration Paragraph 17, 18, 43</w:t>
      </w:r>
    </w:p>
  </w:footnote>
  <w:footnote w:id="5">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lang w:val="en-GB"/>
        </w:rPr>
        <w:t>New York Declaration Paragraphs 75, 76; Annex I Paragraph 12(f)</w:t>
      </w:r>
    </w:p>
  </w:footnote>
  <w:footnote w:id="6">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lang w:val="en-GB"/>
        </w:rPr>
        <w:t>New York Declaration Paragraph 17, 18, 43</w:t>
      </w:r>
    </w:p>
  </w:footnote>
  <w:footnote w:id="7">
    <w:p w:rsidR="0095769F" w:rsidRPr="0095769F" w:rsidRDefault="0095769F" w:rsidP="0095769F">
      <w:pPr>
        <w:spacing w:after="0" w:line="240" w:lineRule="auto"/>
        <w:rPr>
          <w:sz w:val="18"/>
          <w:szCs w:val="20"/>
        </w:rPr>
      </w:pPr>
      <w:r w:rsidRPr="0095769F">
        <w:rPr>
          <w:rStyle w:val="FootnoteReference"/>
          <w:sz w:val="18"/>
          <w:szCs w:val="20"/>
        </w:rPr>
        <w:footnoteRef/>
      </w:r>
      <w:r w:rsidRPr="0095769F">
        <w:rPr>
          <w:sz w:val="18"/>
          <w:szCs w:val="20"/>
        </w:rPr>
        <w:t>New York Declaration Paragraph. 1 , 12, 37, 64, Annex I Paragraph 11</w:t>
      </w:r>
    </w:p>
  </w:footnote>
  <w:footnote w:id="8">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rPr>
        <w:t xml:space="preserve"> New York Declaration Paragraph 66 (OAU Convention and Cartagena Declaration definition includes ‘events seriously disturbing public order’, which may include disasters)</w:t>
      </w:r>
    </w:p>
  </w:footnote>
  <w:footnote w:id="9">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rPr>
        <w:t xml:space="preserve"> New York Declaration Paragraph 24, 53</w:t>
      </w:r>
    </w:p>
  </w:footnote>
  <w:footnote w:id="10">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lang w:val="en-GB"/>
        </w:rPr>
        <w:t>New York Declaration Paragraph 17, 18, 43</w:t>
      </w:r>
    </w:p>
  </w:footnote>
  <w:footnote w:id="11">
    <w:p w:rsidR="0095769F" w:rsidRPr="0095769F" w:rsidRDefault="0095769F" w:rsidP="0095769F">
      <w:pPr>
        <w:pStyle w:val="FootnoteText"/>
        <w:rPr>
          <w:sz w:val="18"/>
          <w:szCs w:val="20"/>
        </w:rPr>
      </w:pPr>
      <w:r w:rsidRPr="0095769F">
        <w:rPr>
          <w:rStyle w:val="FootnoteReference"/>
          <w:sz w:val="18"/>
          <w:szCs w:val="20"/>
        </w:rPr>
        <w:footnoteRef/>
      </w:r>
      <w:r w:rsidRPr="0095769F">
        <w:rPr>
          <w:sz w:val="18"/>
          <w:szCs w:val="20"/>
          <w:lang w:val="en-GB"/>
        </w:rPr>
        <w:t>New York Declaration Paragraph 50, 51; Annex II Paragraph 8(i) and (n)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7F2"/>
    <w:multiLevelType w:val="hybridMultilevel"/>
    <w:tmpl w:val="937C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84F03"/>
    <w:multiLevelType w:val="hybridMultilevel"/>
    <w:tmpl w:val="FB78B23A"/>
    <w:lvl w:ilvl="0" w:tplc="5A68E542">
      <w:start w:val="3"/>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26CE5"/>
    <w:multiLevelType w:val="hybridMultilevel"/>
    <w:tmpl w:val="D5DA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F0880"/>
    <w:multiLevelType w:val="hybridMultilevel"/>
    <w:tmpl w:val="8C9A6A48"/>
    <w:lvl w:ilvl="0" w:tplc="A5FC34C2">
      <w:start w:val="1"/>
      <w:numFmt w:val="bullet"/>
      <w:lvlText w:val="•"/>
      <w:lvlJc w:val="left"/>
      <w:pPr>
        <w:ind w:left="377" w:hanging="377"/>
      </w:pPr>
      <w:rPr>
        <w:rFonts w:hAnsi="Arial Unicode MS"/>
        <w:caps w:val="0"/>
        <w:smallCaps w:val="0"/>
        <w:strike w:val="0"/>
        <w:dstrike w:val="0"/>
        <w:color w:val="000000"/>
        <w:spacing w:val="0"/>
        <w:w w:val="100"/>
        <w:kern w:val="0"/>
        <w:position w:val="0"/>
        <w:highlight w:val="none"/>
        <w:vertAlign w:val="baseline"/>
      </w:rPr>
    </w:lvl>
    <w:lvl w:ilvl="1" w:tplc="5A281084">
      <w:start w:val="1"/>
      <w:numFmt w:val="bullet"/>
      <w:lvlText w:val="•"/>
      <w:lvlJc w:val="left"/>
      <w:pPr>
        <w:ind w:left="1097" w:hanging="377"/>
      </w:pPr>
      <w:rPr>
        <w:rFonts w:hAnsi="Arial Unicode MS"/>
        <w:caps w:val="0"/>
        <w:smallCaps w:val="0"/>
        <w:strike w:val="0"/>
        <w:dstrike w:val="0"/>
        <w:color w:val="000000"/>
        <w:spacing w:val="0"/>
        <w:w w:val="100"/>
        <w:kern w:val="0"/>
        <w:position w:val="0"/>
        <w:highlight w:val="none"/>
        <w:vertAlign w:val="baseline"/>
      </w:rPr>
    </w:lvl>
    <w:lvl w:ilvl="2" w:tplc="FB3CB256">
      <w:start w:val="1"/>
      <w:numFmt w:val="bullet"/>
      <w:lvlText w:val="•"/>
      <w:lvlJc w:val="left"/>
      <w:pPr>
        <w:ind w:left="1817" w:hanging="377"/>
      </w:pPr>
      <w:rPr>
        <w:rFonts w:hAnsi="Arial Unicode MS"/>
        <w:caps w:val="0"/>
        <w:smallCaps w:val="0"/>
        <w:strike w:val="0"/>
        <w:dstrike w:val="0"/>
        <w:color w:val="000000"/>
        <w:spacing w:val="0"/>
        <w:w w:val="100"/>
        <w:kern w:val="0"/>
        <w:position w:val="0"/>
        <w:highlight w:val="none"/>
        <w:vertAlign w:val="baseline"/>
      </w:rPr>
    </w:lvl>
    <w:lvl w:ilvl="3" w:tplc="37F28D8A">
      <w:start w:val="1"/>
      <w:numFmt w:val="bullet"/>
      <w:lvlText w:val="•"/>
      <w:lvlJc w:val="left"/>
      <w:pPr>
        <w:ind w:left="2537" w:hanging="377"/>
      </w:pPr>
      <w:rPr>
        <w:rFonts w:hAnsi="Arial Unicode MS"/>
        <w:caps w:val="0"/>
        <w:smallCaps w:val="0"/>
        <w:strike w:val="0"/>
        <w:dstrike w:val="0"/>
        <w:color w:val="000000"/>
        <w:spacing w:val="0"/>
        <w:w w:val="100"/>
        <w:kern w:val="0"/>
        <w:position w:val="0"/>
        <w:highlight w:val="none"/>
        <w:vertAlign w:val="baseline"/>
      </w:rPr>
    </w:lvl>
    <w:lvl w:ilvl="4" w:tplc="835839CA">
      <w:start w:val="1"/>
      <w:numFmt w:val="bullet"/>
      <w:lvlText w:val="•"/>
      <w:lvlJc w:val="left"/>
      <w:pPr>
        <w:ind w:left="3257" w:hanging="377"/>
      </w:pPr>
      <w:rPr>
        <w:rFonts w:hAnsi="Arial Unicode MS"/>
        <w:caps w:val="0"/>
        <w:smallCaps w:val="0"/>
        <w:strike w:val="0"/>
        <w:dstrike w:val="0"/>
        <w:color w:val="000000"/>
        <w:spacing w:val="0"/>
        <w:w w:val="100"/>
        <w:kern w:val="0"/>
        <w:position w:val="0"/>
        <w:highlight w:val="none"/>
        <w:vertAlign w:val="baseline"/>
      </w:rPr>
    </w:lvl>
    <w:lvl w:ilvl="5" w:tplc="7C4A86C6">
      <w:start w:val="1"/>
      <w:numFmt w:val="bullet"/>
      <w:lvlText w:val="•"/>
      <w:lvlJc w:val="left"/>
      <w:pPr>
        <w:ind w:left="3977" w:hanging="377"/>
      </w:pPr>
      <w:rPr>
        <w:rFonts w:hAnsi="Arial Unicode MS"/>
        <w:caps w:val="0"/>
        <w:smallCaps w:val="0"/>
        <w:strike w:val="0"/>
        <w:dstrike w:val="0"/>
        <w:color w:val="000000"/>
        <w:spacing w:val="0"/>
        <w:w w:val="100"/>
        <w:kern w:val="0"/>
        <w:position w:val="0"/>
        <w:highlight w:val="none"/>
        <w:vertAlign w:val="baseline"/>
      </w:rPr>
    </w:lvl>
    <w:lvl w:ilvl="6" w:tplc="031E0C78">
      <w:start w:val="1"/>
      <w:numFmt w:val="bullet"/>
      <w:lvlText w:val="•"/>
      <w:lvlJc w:val="left"/>
      <w:pPr>
        <w:ind w:left="4697" w:hanging="377"/>
      </w:pPr>
      <w:rPr>
        <w:rFonts w:hAnsi="Arial Unicode MS"/>
        <w:caps w:val="0"/>
        <w:smallCaps w:val="0"/>
        <w:strike w:val="0"/>
        <w:dstrike w:val="0"/>
        <w:color w:val="000000"/>
        <w:spacing w:val="0"/>
        <w:w w:val="100"/>
        <w:kern w:val="0"/>
        <w:position w:val="0"/>
        <w:highlight w:val="none"/>
        <w:vertAlign w:val="baseline"/>
      </w:rPr>
    </w:lvl>
    <w:lvl w:ilvl="7" w:tplc="B6020D94">
      <w:start w:val="1"/>
      <w:numFmt w:val="bullet"/>
      <w:lvlText w:val="•"/>
      <w:lvlJc w:val="left"/>
      <w:pPr>
        <w:ind w:left="5417" w:hanging="377"/>
      </w:pPr>
      <w:rPr>
        <w:rFonts w:hAnsi="Arial Unicode MS"/>
        <w:caps w:val="0"/>
        <w:smallCaps w:val="0"/>
        <w:strike w:val="0"/>
        <w:dstrike w:val="0"/>
        <w:color w:val="000000"/>
        <w:spacing w:val="0"/>
        <w:w w:val="100"/>
        <w:kern w:val="0"/>
        <w:position w:val="0"/>
        <w:highlight w:val="none"/>
        <w:vertAlign w:val="baseline"/>
      </w:rPr>
    </w:lvl>
    <w:lvl w:ilvl="8" w:tplc="5C3260CE">
      <w:start w:val="1"/>
      <w:numFmt w:val="bullet"/>
      <w:lvlText w:val="•"/>
      <w:lvlJc w:val="left"/>
      <w:pPr>
        <w:ind w:left="6137" w:hanging="377"/>
      </w:pPr>
      <w:rPr>
        <w:rFonts w:hAnsi="Arial Unicode MS"/>
        <w:caps w:val="0"/>
        <w:smallCaps w:val="0"/>
        <w:strike w:val="0"/>
        <w:dstrike w:val="0"/>
        <w:color w:val="000000"/>
        <w:spacing w:val="0"/>
        <w:w w:val="100"/>
        <w:kern w:val="0"/>
        <w:position w:val="0"/>
        <w:highlight w:val="none"/>
        <w:vertAlign w:val="baseline"/>
      </w:rPr>
    </w:lvl>
  </w:abstractNum>
  <w:abstractNum w:abstractNumId="4">
    <w:nsid w:val="224272BC"/>
    <w:multiLevelType w:val="hybridMultilevel"/>
    <w:tmpl w:val="BF2E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B4938"/>
    <w:multiLevelType w:val="hybridMultilevel"/>
    <w:tmpl w:val="3D76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0E27E2"/>
    <w:multiLevelType w:val="hybridMultilevel"/>
    <w:tmpl w:val="A43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E676D"/>
    <w:multiLevelType w:val="hybridMultilevel"/>
    <w:tmpl w:val="11D4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A5DCD"/>
    <w:multiLevelType w:val="hybridMultilevel"/>
    <w:tmpl w:val="AE0CAB20"/>
    <w:numStyleLink w:val="Style4import"/>
  </w:abstractNum>
  <w:abstractNum w:abstractNumId="9">
    <w:nsid w:val="748440DB"/>
    <w:multiLevelType w:val="hybridMultilevel"/>
    <w:tmpl w:val="9C70ECC8"/>
    <w:lvl w:ilvl="0" w:tplc="5A68E542">
      <w:start w:val="3"/>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C94A69"/>
    <w:multiLevelType w:val="hybridMultilevel"/>
    <w:tmpl w:val="AE0CAB20"/>
    <w:styleLink w:val="Style4import"/>
    <w:lvl w:ilvl="0" w:tplc="86FE67C2">
      <w:start w:val="1"/>
      <w:numFmt w:val="bullet"/>
      <w:lvlText w:val="•"/>
      <w:lvlJc w:val="left"/>
      <w:pPr>
        <w:ind w:left="1125" w:hanging="76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D90E6AC2">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119A884E">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AA949470">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34D8980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B52257CE">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E252DFD6">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9EE2EE2E">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DB6A1D4C">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11">
    <w:nsid w:val="7B391B23"/>
    <w:multiLevelType w:val="hybridMultilevel"/>
    <w:tmpl w:val="E05833C4"/>
    <w:lvl w:ilvl="0" w:tplc="398C10F4">
      <w:numFmt w:val="bullet"/>
      <w:lvlText w:val="•"/>
      <w:lvlJc w:val="left"/>
      <w:pPr>
        <w:ind w:left="765" w:hanging="76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7C1925"/>
    <w:multiLevelType w:val="hybridMultilevel"/>
    <w:tmpl w:val="C158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6"/>
  </w:num>
  <w:num w:numId="6">
    <w:abstractNumId w:val="11"/>
  </w:num>
  <w:num w:numId="7">
    <w:abstractNumId w:val="0"/>
  </w:num>
  <w:num w:numId="8">
    <w:abstractNumId w:val="12"/>
  </w:num>
  <w:num w:numId="9">
    <w:abstractNumId w:val="3"/>
  </w:num>
  <w:num w:numId="10">
    <w:abstractNumId w:val="3"/>
    <w:lvlOverride w:ilvl="0">
      <w:lvl w:ilvl="0" w:tplc="A5FC34C2">
        <w:start w:val="1"/>
        <w:numFmt w:val="bullet"/>
        <w:lvlText w:val="•"/>
        <w:lvlJc w:val="left"/>
        <w:pPr>
          <w:ind w:left="37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281084">
        <w:start w:val="1"/>
        <w:numFmt w:val="bullet"/>
        <w:lvlText w:val="•"/>
        <w:lvlJc w:val="left"/>
        <w:pPr>
          <w:ind w:left="109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3CB256">
        <w:start w:val="1"/>
        <w:numFmt w:val="bullet"/>
        <w:lvlText w:val="•"/>
        <w:lvlJc w:val="left"/>
        <w:pPr>
          <w:ind w:left="181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F28D8A">
        <w:start w:val="1"/>
        <w:numFmt w:val="bullet"/>
        <w:lvlText w:val="•"/>
        <w:lvlJc w:val="left"/>
        <w:pPr>
          <w:ind w:left="253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5839CA">
        <w:start w:val="1"/>
        <w:numFmt w:val="bullet"/>
        <w:lvlText w:val="•"/>
        <w:lvlJc w:val="left"/>
        <w:pPr>
          <w:ind w:left="325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4A86C6">
        <w:start w:val="1"/>
        <w:numFmt w:val="bullet"/>
        <w:lvlText w:val="•"/>
        <w:lvlJc w:val="left"/>
        <w:pPr>
          <w:ind w:left="397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1E0C78">
        <w:start w:val="1"/>
        <w:numFmt w:val="bullet"/>
        <w:lvlText w:val="•"/>
        <w:lvlJc w:val="left"/>
        <w:pPr>
          <w:ind w:left="469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020D94">
        <w:start w:val="1"/>
        <w:numFmt w:val="bullet"/>
        <w:lvlText w:val="•"/>
        <w:lvlJc w:val="left"/>
        <w:pPr>
          <w:ind w:left="5417"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3260CE">
        <w:start w:val="1"/>
        <w:numFmt w:val="bullet"/>
        <w:lvlText w:val="•"/>
        <w:lvlJc w:val="left"/>
        <w:pPr>
          <w:ind w:left="6137" w:hanging="3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8"/>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318B"/>
    <w:rsid w:val="0005318B"/>
    <w:rsid w:val="001477B7"/>
    <w:rsid w:val="001C65F7"/>
    <w:rsid w:val="00313CCA"/>
    <w:rsid w:val="003B79E4"/>
    <w:rsid w:val="003E5C24"/>
    <w:rsid w:val="0044436E"/>
    <w:rsid w:val="004C232D"/>
    <w:rsid w:val="006309D2"/>
    <w:rsid w:val="006D55AB"/>
    <w:rsid w:val="0080350E"/>
    <w:rsid w:val="00870E62"/>
    <w:rsid w:val="00905354"/>
    <w:rsid w:val="0095769F"/>
    <w:rsid w:val="00960BF4"/>
    <w:rsid w:val="00985C0D"/>
    <w:rsid w:val="009E5FC4"/>
    <w:rsid w:val="009F1CC5"/>
    <w:rsid w:val="00A37F85"/>
    <w:rsid w:val="00A827B0"/>
    <w:rsid w:val="00B230EC"/>
    <w:rsid w:val="00B408C8"/>
    <w:rsid w:val="00B64881"/>
    <w:rsid w:val="00BC1780"/>
    <w:rsid w:val="00BF47ED"/>
    <w:rsid w:val="00C154B7"/>
    <w:rsid w:val="00C53903"/>
    <w:rsid w:val="00C829D2"/>
    <w:rsid w:val="00C84138"/>
    <w:rsid w:val="00D34C06"/>
    <w:rsid w:val="00DC2F0D"/>
    <w:rsid w:val="00E245C2"/>
    <w:rsid w:val="00E25B01"/>
    <w:rsid w:val="00E648BB"/>
    <w:rsid w:val="00ED119B"/>
    <w:rsid w:val="00F405CA"/>
    <w:rsid w:val="00FE7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CD4"/>
    <w:rPr>
      <w:sz w:val="16"/>
      <w:szCs w:val="16"/>
    </w:rPr>
  </w:style>
  <w:style w:type="paragraph" w:styleId="CommentText">
    <w:name w:val="annotation text"/>
    <w:basedOn w:val="Normal"/>
    <w:link w:val="CommentTextChar"/>
    <w:uiPriority w:val="99"/>
    <w:unhideWhenUsed/>
    <w:rsid w:val="00FE7CD4"/>
    <w:pPr>
      <w:spacing w:line="240" w:lineRule="auto"/>
    </w:pPr>
    <w:rPr>
      <w:sz w:val="20"/>
      <w:szCs w:val="20"/>
    </w:rPr>
  </w:style>
  <w:style w:type="character" w:customStyle="1" w:styleId="CommentTextChar">
    <w:name w:val="Comment Text Char"/>
    <w:basedOn w:val="DefaultParagraphFont"/>
    <w:link w:val="CommentText"/>
    <w:uiPriority w:val="99"/>
    <w:rsid w:val="00FE7CD4"/>
    <w:rPr>
      <w:sz w:val="20"/>
      <w:szCs w:val="20"/>
    </w:rPr>
  </w:style>
  <w:style w:type="paragraph" w:styleId="BalloonText">
    <w:name w:val="Balloon Text"/>
    <w:basedOn w:val="Normal"/>
    <w:link w:val="BalloonTextChar"/>
    <w:uiPriority w:val="99"/>
    <w:semiHidden/>
    <w:unhideWhenUsed/>
    <w:rsid w:val="00FE7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D4"/>
    <w:rPr>
      <w:rFonts w:ascii="Segoe UI" w:hAnsi="Segoe UI" w:cs="Segoe UI"/>
      <w:sz w:val="18"/>
      <w:szCs w:val="18"/>
    </w:rPr>
  </w:style>
  <w:style w:type="paragraph" w:styleId="FootnoteText">
    <w:name w:val="footnote text"/>
    <w:basedOn w:val="Normal"/>
    <w:link w:val="FootnoteTextChar"/>
    <w:uiPriority w:val="99"/>
    <w:unhideWhenUsed/>
    <w:rsid w:val="00C829D2"/>
    <w:pPr>
      <w:spacing w:after="0" w:line="240" w:lineRule="auto"/>
    </w:pPr>
    <w:rPr>
      <w:rFonts w:eastAsiaTheme="minorEastAsia"/>
      <w:sz w:val="16"/>
      <w:szCs w:val="24"/>
      <w:lang w:val="en-US"/>
    </w:rPr>
  </w:style>
  <w:style w:type="character" w:customStyle="1" w:styleId="FootnoteTextChar">
    <w:name w:val="Footnote Text Char"/>
    <w:basedOn w:val="DefaultParagraphFont"/>
    <w:link w:val="FootnoteText"/>
    <w:uiPriority w:val="99"/>
    <w:rsid w:val="00C829D2"/>
    <w:rPr>
      <w:rFonts w:eastAsiaTheme="minorEastAsia"/>
      <w:sz w:val="16"/>
      <w:szCs w:val="24"/>
      <w:lang w:val="en-US"/>
    </w:rPr>
  </w:style>
  <w:style w:type="character" w:styleId="FootnoteReference">
    <w:name w:val="footnote reference"/>
    <w:basedOn w:val="DefaultParagraphFont"/>
    <w:uiPriority w:val="99"/>
    <w:unhideWhenUsed/>
    <w:rsid w:val="00C829D2"/>
    <w:rPr>
      <w:vertAlign w:val="superscript"/>
    </w:rPr>
  </w:style>
  <w:style w:type="character" w:customStyle="1" w:styleId="apple-converted-space">
    <w:name w:val="apple-converted-space"/>
    <w:basedOn w:val="DefaultParagraphFont"/>
    <w:rsid w:val="00C829D2"/>
  </w:style>
  <w:style w:type="character" w:customStyle="1" w:styleId="Hyperlink1">
    <w:name w:val="Hyperlink.1"/>
    <w:basedOn w:val="apple-converted-space"/>
    <w:rsid w:val="00C829D2"/>
    <w:rPr>
      <w:rFonts w:ascii="Arial" w:eastAsia="Arial" w:hAnsi="Arial" w:cs="Arial"/>
      <w:color w:val="0000FF"/>
      <w:sz w:val="16"/>
      <w:szCs w:val="16"/>
      <w:u w:val="single" w:color="0000FF"/>
    </w:rPr>
  </w:style>
  <w:style w:type="character" w:customStyle="1" w:styleId="Aucun">
    <w:name w:val="Aucun"/>
    <w:rsid w:val="00C829D2"/>
  </w:style>
  <w:style w:type="paragraph" w:styleId="NormalWeb">
    <w:name w:val="Normal (Web)"/>
    <w:basedOn w:val="Normal"/>
    <w:uiPriority w:val="99"/>
    <w:semiHidden/>
    <w:unhideWhenUsed/>
    <w:rsid w:val="00C829D2"/>
    <w:pPr>
      <w:spacing w:after="0" w:line="240" w:lineRule="auto"/>
    </w:pPr>
    <w:rPr>
      <w:rFonts w:ascii="Times New Roman" w:hAnsi="Times New Roman" w:cs="Times New Roman"/>
      <w:sz w:val="24"/>
      <w:szCs w:val="24"/>
      <w:lang w:eastAsia="en-GB"/>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ullet List,FooterText,numbered,列出"/>
    <w:basedOn w:val="Normal"/>
    <w:link w:val="ListParagraphChar"/>
    <w:qFormat/>
    <w:rsid w:val="004C232D"/>
    <w:pPr>
      <w:ind w:left="720"/>
      <w:contextualSpacing/>
    </w:p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numbered Char"/>
    <w:link w:val="ListParagraph"/>
    <w:uiPriority w:val="34"/>
    <w:qFormat/>
    <w:locked/>
    <w:rsid w:val="00313CCA"/>
  </w:style>
  <w:style w:type="paragraph" w:styleId="CommentSubject">
    <w:name w:val="annotation subject"/>
    <w:basedOn w:val="CommentText"/>
    <w:next w:val="CommentText"/>
    <w:link w:val="CommentSubjectChar"/>
    <w:uiPriority w:val="99"/>
    <w:semiHidden/>
    <w:unhideWhenUsed/>
    <w:rsid w:val="003E5C24"/>
    <w:rPr>
      <w:b/>
      <w:bCs/>
    </w:rPr>
  </w:style>
  <w:style w:type="character" w:customStyle="1" w:styleId="CommentSubjectChar">
    <w:name w:val="Comment Subject Char"/>
    <w:basedOn w:val="CommentTextChar"/>
    <w:link w:val="CommentSubject"/>
    <w:uiPriority w:val="99"/>
    <w:semiHidden/>
    <w:rsid w:val="003E5C24"/>
    <w:rPr>
      <w:b/>
      <w:bCs/>
      <w:sz w:val="20"/>
      <w:szCs w:val="20"/>
    </w:rPr>
  </w:style>
  <w:style w:type="character" w:styleId="Hyperlink">
    <w:name w:val="Hyperlink"/>
    <w:basedOn w:val="DefaultParagraphFont"/>
    <w:uiPriority w:val="99"/>
    <w:unhideWhenUsed/>
    <w:rsid w:val="006D55AB"/>
    <w:rPr>
      <w:color w:val="0563C1" w:themeColor="hyperlink"/>
      <w:u w:val="single"/>
    </w:rPr>
  </w:style>
  <w:style w:type="paragraph" w:customStyle="1" w:styleId="Corps">
    <w:name w:val="Corps"/>
    <w:rsid w:val="0095769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rPr>
  </w:style>
  <w:style w:type="numbering" w:customStyle="1" w:styleId="Style4import">
    <w:name w:val="Style 4 importé"/>
    <w:rsid w:val="0095769F"/>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CD4"/>
    <w:rPr>
      <w:sz w:val="16"/>
      <w:szCs w:val="16"/>
    </w:rPr>
  </w:style>
  <w:style w:type="paragraph" w:styleId="CommentText">
    <w:name w:val="annotation text"/>
    <w:basedOn w:val="Normal"/>
    <w:link w:val="CommentTextChar"/>
    <w:uiPriority w:val="99"/>
    <w:unhideWhenUsed/>
    <w:rsid w:val="00FE7CD4"/>
    <w:pPr>
      <w:spacing w:line="240" w:lineRule="auto"/>
    </w:pPr>
    <w:rPr>
      <w:sz w:val="20"/>
      <w:szCs w:val="20"/>
    </w:rPr>
  </w:style>
  <w:style w:type="character" w:customStyle="1" w:styleId="CommentTextChar">
    <w:name w:val="Comment Text Char"/>
    <w:basedOn w:val="DefaultParagraphFont"/>
    <w:link w:val="CommentText"/>
    <w:uiPriority w:val="99"/>
    <w:rsid w:val="00FE7CD4"/>
    <w:rPr>
      <w:sz w:val="20"/>
      <w:szCs w:val="20"/>
    </w:rPr>
  </w:style>
  <w:style w:type="paragraph" w:styleId="BalloonText">
    <w:name w:val="Balloon Text"/>
    <w:basedOn w:val="Normal"/>
    <w:link w:val="BalloonTextChar"/>
    <w:uiPriority w:val="99"/>
    <w:semiHidden/>
    <w:unhideWhenUsed/>
    <w:rsid w:val="00FE7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D4"/>
    <w:rPr>
      <w:rFonts w:ascii="Segoe UI" w:hAnsi="Segoe UI" w:cs="Segoe UI"/>
      <w:sz w:val="18"/>
      <w:szCs w:val="18"/>
    </w:rPr>
  </w:style>
  <w:style w:type="paragraph" w:styleId="FootnoteText">
    <w:name w:val="footnote text"/>
    <w:basedOn w:val="Normal"/>
    <w:link w:val="FootnoteTextChar"/>
    <w:uiPriority w:val="99"/>
    <w:unhideWhenUsed/>
    <w:rsid w:val="00C829D2"/>
    <w:pPr>
      <w:spacing w:after="0" w:line="240" w:lineRule="auto"/>
    </w:pPr>
    <w:rPr>
      <w:rFonts w:eastAsiaTheme="minorEastAsia"/>
      <w:sz w:val="16"/>
      <w:szCs w:val="24"/>
      <w:lang w:val="en-US"/>
    </w:rPr>
  </w:style>
  <w:style w:type="character" w:customStyle="1" w:styleId="FootnoteTextChar">
    <w:name w:val="Footnote Text Char"/>
    <w:basedOn w:val="DefaultParagraphFont"/>
    <w:link w:val="FootnoteText"/>
    <w:uiPriority w:val="99"/>
    <w:rsid w:val="00C829D2"/>
    <w:rPr>
      <w:rFonts w:eastAsiaTheme="minorEastAsia"/>
      <w:sz w:val="16"/>
      <w:szCs w:val="24"/>
      <w:lang w:val="en-US"/>
    </w:rPr>
  </w:style>
  <w:style w:type="character" w:styleId="FootnoteReference">
    <w:name w:val="footnote reference"/>
    <w:basedOn w:val="DefaultParagraphFont"/>
    <w:uiPriority w:val="99"/>
    <w:unhideWhenUsed/>
    <w:rsid w:val="00C829D2"/>
    <w:rPr>
      <w:vertAlign w:val="superscript"/>
    </w:rPr>
  </w:style>
  <w:style w:type="character" w:customStyle="1" w:styleId="apple-converted-space">
    <w:name w:val="apple-converted-space"/>
    <w:basedOn w:val="DefaultParagraphFont"/>
    <w:rsid w:val="00C829D2"/>
  </w:style>
  <w:style w:type="character" w:customStyle="1" w:styleId="Hyperlink1">
    <w:name w:val="Hyperlink.1"/>
    <w:basedOn w:val="apple-converted-space"/>
    <w:rsid w:val="00C829D2"/>
    <w:rPr>
      <w:rFonts w:ascii="Arial" w:eastAsia="Arial" w:hAnsi="Arial" w:cs="Arial"/>
      <w:color w:val="0000FF"/>
      <w:sz w:val="16"/>
      <w:szCs w:val="16"/>
      <w:u w:val="single" w:color="0000FF"/>
    </w:rPr>
  </w:style>
  <w:style w:type="character" w:customStyle="1" w:styleId="Aucun">
    <w:name w:val="Aucun"/>
    <w:rsid w:val="00C829D2"/>
  </w:style>
  <w:style w:type="paragraph" w:styleId="NormalWeb">
    <w:name w:val="Normal (Web)"/>
    <w:basedOn w:val="Normal"/>
    <w:uiPriority w:val="99"/>
    <w:semiHidden/>
    <w:unhideWhenUsed/>
    <w:rsid w:val="00C829D2"/>
    <w:pPr>
      <w:spacing w:after="0" w:line="240" w:lineRule="auto"/>
    </w:pPr>
    <w:rPr>
      <w:rFonts w:ascii="Times New Roman" w:hAnsi="Times New Roman" w:cs="Times New Roman"/>
      <w:sz w:val="24"/>
      <w:szCs w:val="24"/>
      <w:lang w:eastAsia="en-GB"/>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Bullet List,FooterText,numbered,列出"/>
    <w:basedOn w:val="Normal"/>
    <w:link w:val="ListParagraphChar"/>
    <w:qFormat/>
    <w:rsid w:val="004C232D"/>
    <w:pPr>
      <w:ind w:left="720"/>
      <w:contextualSpacing/>
    </w:p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numbered Char"/>
    <w:link w:val="ListParagraph"/>
    <w:uiPriority w:val="34"/>
    <w:qFormat/>
    <w:locked/>
    <w:rsid w:val="00313CCA"/>
  </w:style>
  <w:style w:type="paragraph" w:styleId="CommentSubject">
    <w:name w:val="annotation subject"/>
    <w:basedOn w:val="CommentText"/>
    <w:next w:val="CommentText"/>
    <w:link w:val="CommentSubjectChar"/>
    <w:uiPriority w:val="99"/>
    <w:semiHidden/>
    <w:unhideWhenUsed/>
    <w:rsid w:val="003E5C24"/>
    <w:rPr>
      <w:b/>
      <w:bCs/>
    </w:rPr>
  </w:style>
  <w:style w:type="character" w:customStyle="1" w:styleId="CommentSubjectChar">
    <w:name w:val="Comment Subject Char"/>
    <w:basedOn w:val="CommentTextChar"/>
    <w:link w:val="CommentSubject"/>
    <w:uiPriority w:val="99"/>
    <w:semiHidden/>
    <w:rsid w:val="003E5C24"/>
    <w:rPr>
      <w:b/>
      <w:bCs/>
      <w:sz w:val="20"/>
      <w:szCs w:val="20"/>
    </w:rPr>
  </w:style>
  <w:style w:type="character" w:styleId="Hyperlink">
    <w:name w:val="Hyperlink"/>
    <w:basedOn w:val="DefaultParagraphFont"/>
    <w:uiPriority w:val="99"/>
    <w:unhideWhenUsed/>
    <w:rsid w:val="006D55AB"/>
    <w:rPr>
      <w:color w:val="0563C1" w:themeColor="hyperlink"/>
      <w:u w:val="single"/>
    </w:rPr>
  </w:style>
  <w:style w:type="paragraph" w:customStyle="1" w:styleId="Corps">
    <w:name w:val="Corps"/>
    <w:rsid w:val="0095769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rPr>
  </w:style>
  <w:style w:type="numbering" w:customStyle="1" w:styleId="Style4import">
    <w:name w:val="Style 4 importé"/>
    <w:rsid w:val="0095769F"/>
    <w:pPr>
      <w:numPr>
        <w:numId w:val="1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Bower</dc:creator>
  <cp:lastModifiedBy>Aspire</cp:lastModifiedBy>
  <cp:revision>3</cp:revision>
  <cp:lastPrinted>2017-04-05T11:11:00Z</cp:lastPrinted>
  <dcterms:created xsi:type="dcterms:W3CDTF">2017-05-09T04:10:00Z</dcterms:created>
  <dcterms:modified xsi:type="dcterms:W3CDTF">2017-05-09T04:17:00Z</dcterms:modified>
</cp:coreProperties>
</file>